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tkinson Hyperlegible" w:cs="Atkinson Hyperlegible" w:eastAsia="Atkinson Hyperlegible" w:hAnsi="Atkinson Hyperlegible"/>
          <w:b w:val="1"/>
          <w:bCs w:val="1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sz w:val="24"/>
          <w:szCs w:val="24"/>
          <w:rtl w:val="0"/>
        </w:rPr>
        <w:t xml:space="preserve">Rei Kawakubo Bildbeispiele für die Gruppenarbeit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5"/>
        <w:gridCol w:w="4905"/>
        <w:tblGridChange w:id="0">
          <w:tblGrid>
            <w:gridCol w:w="4845"/>
            <w:gridCol w:w="4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sz w:val="20"/>
                <w:szCs w:val="20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  <w:drawing>
                <wp:inline distB="114300" distT="114300" distL="114300" distR="114300">
                  <wp:extent cx="2777410" cy="4152456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10" cy="41524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Abb.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  <w:drawing>
                <wp:inline distB="114300" distT="114300" distL="114300" distR="114300">
                  <wp:extent cx="2755604" cy="4133406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04" cy="41334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Abb.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</w:rPr>
              <w:drawing>
                <wp:inline distB="114300" distT="114300" distL="114300" distR="114300">
                  <wp:extent cx="2806032" cy="3332162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032" cy="33321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Abb.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tkinson Hyperlegible" w:cs="Atkinson Hyperlegible" w:eastAsia="Atkinson Hyperlegible" w:hAnsi="Atkinson Hyperlegible"/>
                <w:b w:val="1"/>
                <w:bCs w:val="1"/>
                <w:color w:val="0b4cb4"/>
                <w:sz w:val="18"/>
                <w:szCs w:val="18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bCs w:val="1"/>
                <w:rtl w:val="0"/>
              </w:rPr>
              <w:br w:type="textWrapping"/>
              <w:br w:type="textWrapping"/>
              <w:br w:type="textWrapping"/>
              <w:br w:type="textWrapping"/>
              <w:t xml:space="preserve">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tkinson Hyperlegible" w:cs="Atkinson Hyperlegible" w:eastAsia="Atkinson Hyperlegible" w:hAnsi="Atkinson Hyperlegib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tkinson Hyperlegible" w:cs="Atkinson Hyperlegible" w:eastAsia="Atkinson Hyperlegible" w:hAnsi="Atkinson Hyperlegibl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Abb. 1: </w:t>
            </w:r>
            <w:hyperlink r:id="rId9">
              <w:r w:rsidDel="00000000" w:rsidR="00000000" w:rsidRPr="00000000">
                <w:rPr>
                  <w:rFonts w:ascii="Atkinson Hyperlegible" w:cs="Atkinson Hyperlegible" w:eastAsia="Atkinson Hyperlegible" w:hAnsi="Atkinson Hyperlegible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https://www.vogue.com/fashion-shows/fall-2016-ready-to-wear/comme-des-garcons/slideshow/collection#17</w:t>
              </w:r>
            </w:hyperlink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 </w:t>
              <w:br w:type="textWrapping"/>
              <w:br w:type="textWrapping"/>
              <w:t xml:space="preserve">Abb. 2: </w:t>
            </w:r>
            <w:hyperlink r:id="rId10">
              <w:r w:rsidDel="00000000" w:rsidR="00000000" w:rsidRPr="00000000">
                <w:rPr>
                  <w:rFonts w:ascii="Atkinson Hyperlegible" w:cs="Atkinson Hyperlegible" w:eastAsia="Atkinson Hyperlegible" w:hAnsi="Atkinson Hyperlegible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https://www.metmuseum.org/exhibitions/listings/2017/rei-kawakubo/select-images</w:t>
              </w:r>
            </w:hyperlink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 </w:t>
              <w:br w:type="textWrapping"/>
              <w:br w:type="textWrapping"/>
              <w:t xml:space="preserve">Abb. 3:</w:t>
              <w:br w:type="textWrapping"/>
            </w:r>
            <w:hyperlink r:id="rId11">
              <w:r w:rsidDel="00000000" w:rsidR="00000000" w:rsidRPr="00000000">
                <w:rPr>
                  <w:rFonts w:ascii="Atkinson Hyperlegible" w:cs="Atkinson Hyperlegible" w:eastAsia="Atkinson Hyperlegible" w:hAnsi="Atkinson Hyperlegible"/>
                  <w:color w:val="1155cc"/>
                  <w:sz w:val="20"/>
                  <w:szCs w:val="20"/>
                  <w:u w:val="single"/>
                  <w:rtl w:val="0"/>
                </w:rPr>
                <w:t xml:space="preserve">https://designandculturebyed.com/2021/03/24/monochrome-serenity-comme-des-garcons-aw21/</w:t>
              </w:r>
            </w:hyperlink>
            <w:r w:rsidDel="00000000" w:rsidR="00000000" w:rsidRPr="00000000">
              <w:rPr>
                <w:rFonts w:ascii="Atkinson Hyperlegible" w:cs="Atkinson Hyperlegible" w:eastAsia="Atkinson Hyperlegible" w:hAnsi="Atkinson Hyperlegibl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Atkinson Hyperlegible" w:cs="Atkinson Hyperlegible" w:eastAsia="Atkinson Hyperlegible" w:hAnsi="Atkinson Hyperlegib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60" w:line="240" w:lineRule="auto"/>
    </w:pPr>
    <w:rPr>
      <w:b w:val="1"/>
      <w:bCs w:val="1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i w:val="1"/>
      <w:iCs w:val="1"/>
      <w:sz w:val="18"/>
      <w:szCs w:val="1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esignandculturebyed.com/2021/03/24/monochrome-serenity-comme-des-garcons-aw21/" TargetMode="External"/><Relationship Id="rId10" Type="http://schemas.openxmlformats.org/officeDocument/2006/relationships/hyperlink" Target="https://www.metmuseum.org/exhibitions/listings/2017/rei-kawakubo/select-images" TargetMode="External"/><Relationship Id="rId9" Type="http://schemas.openxmlformats.org/officeDocument/2006/relationships/hyperlink" Target="https://www.vogue.com/fashion-shows/fall-2016-ready-to-wear/comme-des-garcons/slideshow/collection#17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